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D650AA" w:rsidRDefault="00F92268" w:rsidP="00850792">
      <w:pPr>
        <w:pStyle w:val="BodyText"/>
        <w:rPr>
          <w:sz w:val="6"/>
          <w:szCs w:val="6"/>
        </w:rPr>
      </w:pPr>
      <w:r w:rsidRPr="00D650AA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D650AA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D650AA" w:rsidRDefault="00F92268" w:rsidP="00F246C7">
            <w:pPr>
              <w:pStyle w:val="RefTableData"/>
            </w:pPr>
            <w:r w:rsidRPr="00D650AA">
              <w:t>Reference number(s)</w:t>
            </w:r>
          </w:p>
        </w:tc>
      </w:tr>
      <w:tr w:rsidR="00F92268" w:rsidRPr="00D650AA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067A683" w:rsidR="00F92268" w:rsidRPr="00D650AA" w:rsidRDefault="00FF19C5" w:rsidP="00F246C7">
            <w:pPr>
              <w:pStyle w:val="RefTableHeader"/>
            </w:pPr>
            <w:r w:rsidRPr="00D650AA">
              <w:t>1636-A</w:t>
            </w:r>
          </w:p>
        </w:tc>
      </w:tr>
    </w:tbl>
    <w:p w14:paraId="74FBA5B4" w14:textId="77777777" w:rsidR="00051356" w:rsidRPr="00D650AA" w:rsidRDefault="00051356" w:rsidP="00A672B3">
      <w:pPr>
        <w:pStyle w:val="BodyText"/>
        <w:rPr>
          <w:b/>
          <w:bCs/>
          <w:sz w:val="16"/>
          <w:szCs w:val="16"/>
        </w:rPr>
        <w:sectPr w:rsidR="00051356" w:rsidRPr="00D650AA" w:rsidSect="00170315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2D80EA5" w:rsidR="004B15BB" w:rsidRPr="00D650AA" w:rsidRDefault="009205DF" w:rsidP="007E5C16">
      <w:pPr>
        <w:pStyle w:val="Heading1"/>
      </w:pPr>
      <w:r w:rsidRPr="00D650AA">
        <w:t>Specialty Guideline Management</w:t>
      </w:r>
      <w:r w:rsidR="008C54D9" w:rsidRPr="00D650AA">
        <w:br/>
      </w:r>
      <w:r w:rsidRPr="00D650AA">
        <w:t>deflazacort</w:t>
      </w:r>
      <w:r w:rsidR="006118F5">
        <w:t>-</w:t>
      </w:r>
      <w:proofErr w:type="spellStart"/>
      <w:r w:rsidR="006118F5">
        <w:t>Emflaza</w:t>
      </w:r>
      <w:proofErr w:type="spellEnd"/>
    </w:p>
    <w:p w14:paraId="4CF12850" w14:textId="1911F104" w:rsidR="00A424AA" w:rsidRPr="00D650AA" w:rsidRDefault="00A424AA" w:rsidP="00A424AA">
      <w:pPr>
        <w:pStyle w:val="Heading2"/>
      </w:pPr>
      <w:r w:rsidRPr="00D650AA">
        <w:t>Products Referenced by this Document</w:t>
      </w:r>
    </w:p>
    <w:p w14:paraId="5AA45190" w14:textId="65B6D816" w:rsidR="00A424AA" w:rsidRPr="00D650AA" w:rsidRDefault="00A424AA" w:rsidP="00A424AA">
      <w:pPr>
        <w:pStyle w:val="BodyText"/>
      </w:pPr>
      <w:r w:rsidRPr="00D650AA">
        <w:t xml:space="preserve">Drugs that are listed in the following table include both brand and generic and all dosage forms and strengths unless otherwise stated. </w:t>
      </w:r>
      <w:r w:rsidR="00EB431C" w:rsidRPr="00EB431C">
        <w:t>Over-the-counter (OTC)</w:t>
      </w:r>
      <w:r w:rsidRPr="00D650AA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A424AA" w:rsidRPr="00D650AA" w14:paraId="138C83C7" w14:textId="77777777" w:rsidTr="00B12E8C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7014A25E" w14:textId="77777777" w:rsidR="00A424AA" w:rsidRPr="00D650AA" w:rsidRDefault="00A424AA" w:rsidP="00B12E8C">
            <w:pPr>
              <w:pStyle w:val="TableHeader"/>
            </w:pPr>
            <w:r w:rsidRPr="00D650AA">
              <w:t>Brand Name</w:t>
            </w:r>
          </w:p>
        </w:tc>
        <w:tc>
          <w:tcPr>
            <w:tcW w:w="5595" w:type="dxa"/>
            <w:vAlign w:val="center"/>
          </w:tcPr>
          <w:p w14:paraId="62A5F3F2" w14:textId="77777777" w:rsidR="00A424AA" w:rsidRPr="00D650AA" w:rsidRDefault="00A424AA" w:rsidP="00B12E8C">
            <w:pPr>
              <w:pStyle w:val="TableHeader"/>
            </w:pPr>
            <w:r w:rsidRPr="00D650AA">
              <w:t>Generic Name</w:t>
            </w:r>
          </w:p>
        </w:tc>
      </w:tr>
      <w:tr w:rsidR="00A424AA" w:rsidRPr="00D650AA" w14:paraId="531EAF50" w14:textId="77777777" w:rsidTr="00B12E8C">
        <w:trPr>
          <w:cantSplit/>
        </w:trPr>
        <w:tc>
          <w:tcPr>
            <w:tcW w:w="5265" w:type="dxa"/>
          </w:tcPr>
          <w:p w14:paraId="10A81C3F" w14:textId="3A8D6876" w:rsidR="00A424AA" w:rsidRPr="00D650AA" w:rsidRDefault="00A424AA" w:rsidP="00B12E8C">
            <w:pPr>
              <w:pStyle w:val="TableDataUnpadded"/>
            </w:pPr>
            <w:proofErr w:type="spellStart"/>
            <w:r w:rsidRPr="00D650AA">
              <w:t>Emflaza</w:t>
            </w:r>
            <w:proofErr w:type="spellEnd"/>
          </w:p>
        </w:tc>
        <w:tc>
          <w:tcPr>
            <w:tcW w:w="5595" w:type="dxa"/>
          </w:tcPr>
          <w:p w14:paraId="1C506425" w14:textId="77777777" w:rsidR="00A424AA" w:rsidRPr="00D650AA" w:rsidRDefault="00A424AA" w:rsidP="00B12E8C">
            <w:pPr>
              <w:pStyle w:val="TableDataUnpadded"/>
            </w:pPr>
            <w:r w:rsidRPr="00D650AA">
              <w:t>deflazacort</w:t>
            </w:r>
          </w:p>
        </w:tc>
      </w:tr>
    </w:tbl>
    <w:p w14:paraId="14CE6108" w14:textId="4342BCC7" w:rsidR="00FC1AAD" w:rsidRPr="00D650AA" w:rsidRDefault="00ED052F" w:rsidP="00AA2A94">
      <w:pPr>
        <w:pStyle w:val="Heading2"/>
        <w:tabs>
          <w:tab w:val="left" w:pos="9540"/>
        </w:tabs>
      </w:pPr>
      <w:r w:rsidRPr="00D650AA">
        <w:t>Indications</w:t>
      </w:r>
    </w:p>
    <w:p w14:paraId="249FE0CE" w14:textId="249D841C" w:rsidR="009205DF" w:rsidRPr="00D650AA" w:rsidRDefault="009205DF" w:rsidP="009205DF">
      <w:pPr>
        <w:pStyle w:val="BodyText"/>
      </w:pPr>
      <w:r w:rsidRPr="00D650A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F1C849F" w:rsidR="00ED052F" w:rsidRPr="00D650AA" w:rsidRDefault="00ED052F" w:rsidP="00ED052F">
      <w:pPr>
        <w:pStyle w:val="Heading3"/>
        <w:keepNext w:val="0"/>
      </w:pPr>
      <w:r w:rsidRPr="00D650AA">
        <w:t>FDA-</w:t>
      </w:r>
      <w:r w:rsidR="00C3728B" w:rsidRPr="00D650AA">
        <w:t>A</w:t>
      </w:r>
      <w:r w:rsidRPr="00D650AA">
        <w:t>pproved Indications</w:t>
      </w:r>
      <w:r w:rsidR="00C3728B" w:rsidRPr="008F6B6F">
        <w:rPr>
          <w:vertAlign w:val="superscript"/>
        </w:rPr>
        <w:t>1,7</w:t>
      </w:r>
      <w:r w:rsidR="00551D51">
        <w:rPr>
          <w:vertAlign w:val="superscript"/>
        </w:rPr>
        <w:t>-8</w:t>
      </w:r>
    </w:p>
    <w:p w14:paraId="25ABC797" w14:textId="0A2C86FA" w:rsidR="009205DF" w:rsidRPr="00D650AA" w:rsidRDefault="009205DF" w:rsidP="009205DF">
      <w:pPr>
        <w:pStyle w:val="BodyText"/>
      </w:pPr>
      <w:proofErr w:type="spellStart"/>
      <w:r w:rsidRPr="00D650AA">
        <w:t>Emflaza</w:t>
      </w:r>
      <w:proofErr w:type="spellEnd"/>
      <w:r w:rsidRPr="00D650AA">
        <w:t xml:space="preserve"> is indicated for the treatment of Duchenne muscular dystrophy (DMD) in patients 2 years of age and older.</w:t>
      </w:r>
    </w:p>
    <w:p w14:paraId="15EEF483" w14:textId="6942DF69" w:rsidR="009205DF" w:rsidRPr="00D650AA" w:rsidRDefault="009205DF" w:rsidP="009205DF">
      <w:pPr>
        <w:pStyle w:val="BodyText"/>
      </w:pPr>
      <w:r w:rsidRPr="00D650AA">
        <w:t>Deflazacort (generic) is indicated for the treatment of Duchenne muscular dystrophy (DMD) in patients 5 years of age and older.</w:t>
      </w:r>
    </w:p>
    <w:p w14:paraId="775505C8" w14:textId="0B26FCF7" w:rsidR="009205DF" w:rsidRPr="00D650AA" w:rsidRDefault="009205DF" w:rsidP="009205DF">
      <w:pPr>
        <w:pStyle w:val="BodyText"/>
      </w:pPr>
      <w:r w:rsidRPr="00D650AA">
        <w:t>All other indications are considered experimental/investigational and not medically necessary.</w:t>
      </w:r>
    </w:p>
    <w:p w14:paraId="36381B6D" w14:textId="2A1D4423" w:rsidR="000D2496" w:rsidRPr="00D650AA" w:rsidRDefault="000D2496" w:rsidP="000D2496">
      <w:pPr>
        <w:pStyle w:val="Heading2"/>
      </w:pPr>
      <w:r w:rsidRPr="00D650AA">
        <w:t>Documentation</w:t>
      </w:r>
    </w:p>
    <w:p w14:paraId="721033FA" w14:textId="4581C0FF" w:rsidR="009205DF" w:rsidRPr="00D650AA" w:rsidRDefault="009205DF" w:rsidP="009205DF">
      <w:pPr>
        <w:pStyle w:val="BodyText"/>
      </w:pPr>
      <w:r w:rsidRPr="00D650AA">
        <w:t>Submission of the following information is necessary to initiate the prior authorization review:</w:t>
      </w:r>
    </w:p>
    <w:p w14:paraId="72A6F10F" w14:textId="1DD5C829" w:rsidR="009205DF" w:rsidRPr="00D650AA" w:rsidRDefault="009205DF" w:rsidP="00C3728B">
      <w:pPr>
        <w:pStyle w:val="ListParagraph"/>
        <w:numPr>
          <w:ilvl w:val="0"/>
          <w:numId w:val="41"/>
        </w:numPr>
      </w:pPr>
      <w:r w:rsidRPr="00D650AA">
        <w:t>Laboratory confirmation of DMD diagnosis by genetic testing or muscle biopsy.</w:t>
      </w:r>
    </w:p>
    <w:p w14:paraId="7D4E882C" w14:textId="2D6C9859" w:rsidR="009205DF" w:rsidRPr="00D650AA" w:rsidRDefault="009205DF" w:rsidP="00C3728B">
      <w:pPr>
        <w:pStyle w:val="ListParagraph"/>
        <w:numPr>
          <w:ilvl w:val="0"/>
          <w:numId w:val="41"/>
        </w:numPr>
      </w:pPr>
      <w:r w:rsidRPr="00D650AA">
        <w:lastRenderedPageBreak/>
        <w:t>Chart documentation of weight gain/obesity or persistent psychiatric/behavioral issues with previous prednisone or prednisolone treatment.</w:t>
      </w:r>
    </w:p>
    <w:p w14:paraId="4A5B15F8" w14:textId="143BBA87" w:rsidR="00006174" w:rsidRPr="00D650AA" w:rsidRDefault="00006174" w:rsidP="00006174">
      <w:pPr>
        <w:pStyle w:val="Heading2"/>
      </w:pPr>
      <w:r w:rsidRPr="00D650AA">
        <w:t>Prescriber Specialties</w:t>
      </w:r>
    </w:p>
    <w:p w14:paraId="06C1A25C" w14:textId="7AA3F4E1" w:rsidR="009205DF" w:rsidRPr="00D650AA" w:rsidRDefault="009205DF" w:rsidP="009205DF">
      <w:pPr>
        <w:pStyle w:val="BodyText"/>
      </w:pPr>
      <w:r w:rsidRPr="00D650AA">
        <w:t>This medication must be prescribed by or in consultation with a physician who specializes in the treatment of Duchenne muscular dystrophy (DMD).</w:t>
      </w:r>
    </w:p>
    <w:p w14:paraId="50A38FBA" w14:textId="177647D0" w:rsidR="00FE0C63" w:rsidRPr="00D650AA" w:rsidRDefault="00685107" w:rsidP="00E050E1">
      <w:pPr>
        <w:pStyle w:val="Heading2"/>
      </w:pPr>
      <w:r w:rsidRPr="00D650AA">
        <w:t>Coverage Criteria</w:t>
      </w:r>
    </w:p>
    <w:p w14:paraId="4DDBBFEE" w14:textId="3A1D64CD" w:rsidR="009205DF" w:rsidRPr="00D650AA" w:rsidRDefault="009205DF" w:rsidP="009205DF">
      <w:pPr>
        <w:pStyle w:val="Heading3"/>
      </w:pPr>
      <w:r w:rsidRPr="00D650AA">
        <w:t>Duchenne Muscular Dystrophy</w:t>
      </w:r>
      <w:r w:rsidRPr="008F6B6F">
        <w:rPr>
          <w:vertAlign w:val="superscript"/>
        </w:rPr>
        <w:t>1-</w:t>
      </w:r>
      <w:r w:rsidR="00551D51">
        <w:rPr>
          <w:vertAlign w:val="superscript"/>
        </w:rPr>
        <w:t>9</w:t>
      </w:r>
    </w:p>
    <w:p w14:paraId="025EFED5" w14:textId="14B0D77B" w:rsidR="009205DF" w:rsidRPr="00D650AA" w:rsidRDefault="009205DF" w:rsidP="009205DF">
      <w:pPr>
        <w:pStyle w:val="BodyText"/>
      </w:pPr>
      <w:r w:rsidRPr="00D650AA">
        <w:t>Authorization of 6 months may be granted for treatment of DMD when all of the following criteria are met:</w:t>
      </w:r>
    </w:p>
    <w:p w14:paraId="1162DE0A" w14:textId="06248D7F" w:rsidR="009205DF" w:rsidRPr="00D650AA" w:rsidRDefault="009205DF" w:rsidP="00C3728B">
      <w:pPr>
        <w:pStyle w:val="ListParagraph"/>
        <w:numPr>
          <w:ilvl w:val="0"/>
          <w:numId w:val="42"/>
        </w:numPr>
      </w:pPr>
      <w:r w:rsidRPr="00D650AA">
        <w:t>The diagnosis of DMD was confirmed by one of the following criteria:</w:t>
      </w:r>
    </w:p>
    <w:p w14:paraId="18ECE301" w14:textId="5EC98BE2" w:rsidR="009205DF" w:rsidRPr="00D650AA" w:rsidRDefault="009205DF" w:rsidP="00C3728B">
      <w:pPr>
        <w:pStyle w:val="ListParagraph"/>
        <w:numPr>
          <w:ilvl w:val="1"/>
          <w:numId w:val="43"/>
        </w:numPr>
      </w:pPr>
      <w:r w:rsidRPr="00D650AA">
        <w:t>Genetic testing demonstrating a mutation in the DMD gene.</w:t>
      </w:r>
    </w:p>
    <w:p w14:paraId="52CD5EC6" w14:textId="726A8B0E" w:rsidR="009205DF" w:rsidRPr="00D650AA" w:rsidRDefault="009205DF" w:rsidP="00C3728B">
      <w:pPr>
        <w:pStyle w:val="ListParagraph"/>
        <w:numPr>
          <w:ilvl w:val="1"/>
          <w:numId w:val="43"/>
        </w:numPr>
      </w:pPr>
      <w:r w:rsidRPr="00D650AA">
        <w:t>Muscle biopsy demonstrating absent dystrophin.</w:t>
      </w:r>
    </w:p>
    <w:p w14:paraId="2BB9C1B9" w14:textId="5F473657" w:rsidR="009205DF" w:rsidRPr="00D650AA" w:rsidRDefault="009205DF" w:rsidP="00C3728B">
      <w:pPr>
        <w:pStyle w:val="ListParagraph"/>
        <w:numPr>
          <w:ilvl w:val="0"/>
          <w:numId w:val="42"/>
        </w:numPr>
      </w:pPr>
      <w:r w:rsidRPr="00D650AA">
        <w:t>Member is 2 years of age or older.</w:t>
      </w:r>
    </w:p>
    <w:p w14:paraId="1049B059" w14:textId="49FC8B56" w:rsidR="009205DF" w:rsidRPr="00D650AA" w:rsidRDefault="009205DF" w:rsidP="00C3728B">
      <w:pPr>
        <w:pStyle w:val="ListParagraph"/>
        <w:numPr>
          <w:ilvl w:val="0"/>
          <w:numId w:val="42"/>
        </w:numPr>
      </w:pPr>
      <w:r w:rsidRPr="00D650AA">
        <w:t>Member has tried prednisone or prednisolone and experienced unmanageable and clinically significant weight gain/obesity or psychiatric/behavioral issues (e.g., abnormal behavior, aggression, irritability):</w:t>
      </w:r>
    </w:p>
    <w:p w14:paraId="75FF0D83" w14:textId="787A3303" w:rsidR="009205DF" w:rsidRPr="00D650AA" w:rsidRDefault="009205DF" w:rsidP="00C3728B">
      <w:pPr>
        <w:pStyle w:val="ListParagraph"/>
        <w:numPr>
          <w:ilvl w:val="1"/>
          <w:numId w:val="44"/>
        </w:numPr>
      </w:pPr>
      <w:r w:rsidRPr="00D650AA">
        <w:t>For weight gain/obesity: body mass index is in the overweight or obese category while receiving treatment with prednisone or prednisolone (refer to Appendix for weight status categories for children and adults).</w:t>
      </w:r>
    </w:p>
    <w:p w14:paraId="3A643EC3" w14:textId="2CB6BA57" w:rsidR="00A501AC" w:rsidRPr="00D650AA" w:rsidRDefault="00A501AC" w:rsidP="00A501AC">
      <w:pPr>
        <w:pStyle w:val="Heading2"/>
      </w:pPr>
      <w:r w:rsidRPr="00D650AA">
        <w:t>Continuation of Therapy</w:t>
      </w:r>
    </w:p>
    <w:p w14:paraId="661C7FAB" w14:textId="77777777" w:rsidR="00DC2697" w:rsidRPr="00D650AA" w:rsidRDefault="00DC2697" w:rsidP="00DC2697">
      <w:pPr>
        <w:pStyle w:val="BodyText"/>
      </w:pPr>
      <w:r w:rsidRPr="00D650AA">
        <w:t>Authorization of 12 months may be granted for members requesting continuation of therapy when all of the following criteria are met:</w:t>
      </w:r>
    </w:p>
    <w:p w14:paraId="6E5AA26D" w14:textId="24542945" w:rsidR="00DC2697" w:rsidRPr="00D650AA" w:rsidRDefault="00DC2697" w:rsidP="00C3728B">
      <w:pPr>
        <w:pStyle w:val="ListParagraph"/>
        <w:numPr>
          <w:ilvl w:val="0"/>
          <w:numId w:val="46"/>
        </w:numPr>
      </w:pPr>
      <w:r w:rsidRPr="00D650AA">
        <w:t>The member meets all requirements in the coverage criteria section.</w:t>
      </w:r>
    </w:p>
    <w:p w14:paraId="2D3F25F1" w14:textId="4BBFF77C" w:rsidR="00DC2697" w:rsidRPr="00D650AA" w:rsidRDefault="00DC2697" w:rsidP="00C3728B">
      <w:pPr>
        <w:pStyle w:val="ListParagraph"/>
        <w:numPr>
          <w:ilvl w:val="0"/>
          <w:numId w:val="46"/>
        </w:numPr>
      </w:pPr>
      <w:r w:rsidRPr="00D650AA">
        <w:t>The member is receiving a clinical benefit from therapy with the requested medication (e.g., improvement or stabilization of muscle strength or pulmonary function).</w:t>
      </w:r>
    </w:p>
    <w:p w14:paraId="784D6ED7" w14:textId="12CFC8BA" w:rsidR="008B1332" w:rsidRPr="00D650AA" w:rsidRDefault="00B65538" w:rsidP="008B1332">
      <w:pPr>
        <w:pStyle w:val="Heading2"/>
      </w:pPr>
      <w:r w:rsidRPr="00D650AA">
        <w:lastRenderedPageBreak/>
        <w:t>Appendix</w:t>
      </w:r>
    </w:p>
    <w:p w14:paraId="0ACE7E93" w14:textId="3128C247" w:rsidR="004172BF" w:rsidRPr="00D650AA" w:rsidRDefault="00DC2697" w:rsidP="00C3728B">
      <w:pPr>
        <w:pStyle w:val="Heading3"/>
      </w:pPr>
      <w:r w:rsidRPr="00D650AA">
        <w:t>Body Mass Index Percentile and Weight Status Category for Children 2 Through 19 Years of Age</w:t>
      </w:r>
    </w:p>
    <w:tbl>
      <w:tblPr>
        <w:tblStyle w:val="TableGrid"/>
        <w:tblW w:w="10800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5362"/>
        <w:gridCol w:w="5438"/>
      </w:tblGrid>
      <w:tr w:rsidR="00DC2697" w:rsidRPr="00D650AA" w14:paraId="1D16E639" w14:textId="77777777" w:rsidTr="00C3728B">
        <w:trPr>
          <w:trHeight w:val="20"/>
        </w:trPr>
        <w:tc>
          <w:tcPr>
            <w:tcW w:w="5362" w:type="dxa"/>
            <w:vAlign w:val="center"/>
          </w:tcPr>
          <w:p w14:paraId="51446948" w14:textId="77777777" w:rsidR="00DC2697" w:rsidRPr="00D650AA" w:rsidRDefault="00DC2697" w:rsidP="00DC2697">
            <w:pPr>
              <w:pStyle w:val="TableHeader"/>
            </w:pPr>
            <w:r w:rsidRPr="00D650AA">
              <w:t>Body Mass Index Percentile Range</w:t>
            </w:r>
          </w:p>
        </w:tc>
        <w:tc>
          <w:tcPr>
            <w:tcW w:w="5438" w:type="dxa"/>
            <w:vAlign w:val="center"/>
          </w:tcPr>
          <w:p w14:paraId="4887CED7" w14:textId="77777777" w:rsidR="00DC2697" w:rsidRPr="00D650AA" w:rsidRDefault="00DC2697" w:rsidP="00DC2697">
            <w:pPr>
              <w:pStyle w:val="TableHeader"/>
            </w:pPr>
            <w:r w:rsidRPr="00D650AA">
              <w:t xml:space="preserve">Weight Status </w:t>
            </w:r>
          </w:p>
        </w:tc>
      </w:tr>
      <w:tr w:rsidR="00DC2697" w:rsidRPr="00D650AA" w14:paraId="056F9EAB" w14:textId="77777777" w:rsidTr="00C3728B">
        <w:trPr>
          <w:trHeight w:val="20"/>
        </w:trPr>
        <w:tc>
          <w:tcPr>
            <w:tcW w:w="5362" w:type="dxa"/>
          </w:tcPr>
          <w:p w14:paraId="128AE390" w14:textId="77777777" w:rsidR="00DC2697" w:rsidRPr="00D650AA" w:rsidRDefault="00DC2697" w:rsidP="00DC2697">
            <w:pPr>
              <w:pStyle w:val="TableData"/>
            </w:pPr>
            <w:r w:rsidRPr="00D650AA">
              <w:t>Less than the 5th percentile</w:t>
            </w:r>
          </w:p>
        </w:tc>
        <w:tc>
          <w:tcPr>
            <w:tcW w:w="5438" w:type="dxa"/>
          </w:tcPr>
          <w:p w14:paraId="7548D065" w14:textId="77777777" w:rsidR="00DC2697" w:rsidRPr="00D650AA" w:rsidRDefault="00DC2697" w:rsidP="00DC2697">
            <w:pPr>
              <w:pStyle w:val="TableData"/>
            </w:pPr>
            <w:r w:rsidRPr="00D650AA">
              <w:t>Underweight</w:t>
            </w:r>
          </w:p>
        </w:tc>
      </w:tr>
      <w:tr w:rsidR="00DC2697" w:rsidRPr="00D650AA" w14:paraId="57A77537" w14:textId="77777777" w:rsidTr="00C3728B">
        <w:trPr>
          <w:trHeight w:val="20"/>
        </w:trPr>
        <w:tc>
          <w:tcPr>
            <w:tcW w:w="5362" w:type="dxa"/>
          </w:tcPr>
          <w:p w14:paraId="2626AFDC" w14:textId="77777777" w:rsidR="00DC2697" w:rsidRPr="00D650AA" w:rsidRDefault="00DC2697" w:rsidP="00DC2697">
            <w:pPr>
              <w:pStyle w:val="TableData"/>
            </w:pPr>
            <w:r w:rsidRPr="00D650AA">
              <w:t>5th percentile to less than the 85th percentile</w:t>
            </w:r>
          </w:p>
        </w:tc>
        <w:tc>
          <w:tcPr>
            <w:tcW w:w="5438" w:type="dxa"/>
          </w:tcPr>
          <w:p w14:paraId="35354511" w14:textId="77777777" w:rsidR="00DC2697" w:rsidRPr="00D650AA" w:rsidRDefault="00DC2697" w:rsidP="00DC2697">
            <w:pPr>
              <w:pStyle w:val="TableData"/>
            </w:pPr>
            <w:r w:rsidRPr="00D650AA">
              <w:t>Healthy Weight</w:t>
            </w:r>
          </w:p>
        </w:tc>
      </w:tr>
      <w:tr w:rsidR="00DC2697" w:rsidRPr="00D650AA" w14:paraId="5A9229D0" w14:textId="77777777" w:rsidTr="00C3728B">
        <w:trPr>
          <w:trHeight w:val="20"/>
        </w:trPr>
        <w:tc>
          <w:tcPr>
            <w:tcW w:w="5362" w:type="dxa"/>
          </w:tcPr>
          <w:p w14:paraId="4E48A93A" w14:textId="77777777" w:rsidR="00DC2697" w:rsidRPr="00D650AA" w:rsidRDefault="00DC2697" w:rsidP="00DC2697">
            <w:pPr>
              <w:pStyle w:val="TableData"/>
            </w:pPr>
            <w:r w:rsidRPr="00D650AA">
              <w:t>85th to less than the 95th percentile</w:t>
            </w:r>
          </w:p>
        </w:tc>
        <w:tc>
          <w:tcPr>
            <w:tcW w:w="5438" w:type="dxa"/>
          </w:tcPr>
          <w:p w14:paraId="549105A3" w14:textId="77777777" w:rsidR="00DC2697" w:rsidRPr="00D650AA" w:rsidRDefault="00DC2697" w:rsidP="00DC2697">
            <w:pPr>
              <w:pStyle w:val="TableData"/>
            </w:pPr>
            <w:r w:rsidRPr="00D650AA">
              <w:t>Overweight</w:t>
            </w:r>
          </w:p>
        </w:tc>
      </w:tr>
      <w:tr w:rsidR="00DC2697" w:rsidRPr="00D650AA" w14:paraId="4702E3EE" w14:textId="77777777" w:rsidTr="00C3728B">
        <w:trPr>
          <w:trHeight w:val="20"/>
        </w:trPr>
        <w:tc>
          <w:tcPr>
            <w:tcW w:w="5362" w:type="dxa"/>
          </w:tcPr>
          <w:p w14:paraId="345AE41C" w14:textId="77777777" w:rsidR="00DC2697" w:rsidRPr="00D650AA" w:rsidRDefault="00DC2697" w:rsidP="00DC2697">
            <w:pPr>
              <w:pStyle w:val="TableData"/>
            </w:pPr>
            <w:r w:rsidRPr="00D650AA">
              <w:t>Equal to or greater than the 95th percentile</w:t>
            </w:r>
          </w:p>
        </w:tc>
        <w:tc>
          <w:tcPr>
            <w:tcW w:w="5438" w:type="dxa"/>
          </w:tcPr>
          <w:p w14:paraId="1DEDCDF5" w14:textId="77777777" w:rsidR="00DC2697" w:rsidRPr="00D650AA" w:rsidRDefault="00DC2697" w:rsidP="00DC2697">
            <w:pPr>
              <w:pStyle w:val="TableData"/>
            </w:pPr>
            <w:r w:rsidRPr="00D650AA">
              <w:t>Obese</w:t>
            </w:r>
          </w:p>
        </w:tc>
      </w:tr>
    </w:tbl>
    <w:p w14:paraId="3EF4D2B6" w14:textId="5706DB1B" w:rsidR="00DC2697" w:rsidRPr="00D650AA" w:rsidRDefault="00DC2697" w:rsidP="00C3728B">
      <w:pPr>
        <w:pStyle w:val="Heading3"/>
      </w:pPr>
      <w:r w:rsidRPr="00D650AA">
        <w:t>Body Mass Index and Weight Status Category for Adults (20 Years of Age and Older)</w:t>
      </w:r>
    </w:p>
    <w:tbl>
      <w:tblPr>
        <w:tblStyle w:val="TableGrid"/>
        <w:tblW w:w="10890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5351"/>
        <w:gridCol w:w="5539"/>
      </w:tblGrid>
      <w:tr w:rsidR="00DC2697" w:rsidRPr="00D650AA" w14:paraId="30B69C68" w14:textId="77777777" w:rsidTr="00C3728B">
        <w:trPr>
          <w:trHeight w:val="20"/>
        </w:trPr>
        <w:tc>
          <w:tcPr>
            <w:tcW w:w="5351" w:type="dxa"/>
          </w:tcPr>
          <w:p w14:paraId="07DE8256" w14:textId="77777777" w:rsidR="00DC2697" w:rsidRPr="00D650AA" w:rsidRDefault="00DC2697" w:rsidP="00FF19C5">
            <w:pPr>
              <w:pStyle w:val="TableHeader"/>
            </w:pPr>
            <w:r w:rsidRPr="00D650AA">
              <w:rPr>
                <w:rStyle w:val="Strong"/>
                <w:b/>
                <w:bCs/>
              </w:rPr>
              <w:t>Body Mass Index</w:t>
            </w:r>
          </w:p>
        </w:tc>
        <w:tc>
          <w:tcPr>
            <w:tcW w:w="5539" w:type="dxa"/>
          </w:tcPr>
          <w:p w14:paraId="7E3ACC25" w14:textId="77777777" w:rsidR="00DC2697" w:rsidRPr="00D650AA" w:rsidRDefault="00DC2697" w:rsidP="00FF19C5">
            <w:pPr>
              <w:pStyle w:val="TableHeader"/>
            </w:pPr>
            <w:r w:rsidRPr="00D650AA">
              <w:rPr>
                <w:rStyle w:val="Strong"/>
                <w:b/>
                <w:bCs/>
              </w:rPr>
              <w:t>Weight Status</w:t>
            </w:r>
          </w:p>
        </w:tc>
      </w:tr>
      <w:tr w:rsidR="00DC2697" w:rsidRPr="00D650AA" w14:paraId="6545D54C" w14:textId="77777777" w:rsidTr="00C3728B">
        <w:trPr>
          <w:trHeight w:val="20"/>
        </w:trPr>
        <w:tc>
          <w:tcPr>
            <w:tcW w:w="5351" w:type="dxa"/>
          </w:tcPr>
          <w:p w14:paraId="689B0A16" w14:textId="77777777" w:rsidR="00DC2697" w:rsidRPr="00D650AA" w:rsidRDefault="00DC2697" w:rsidP="00DC2697">
            <w:pPr>
              <w:pStyle w:val="TableData"/>
            </w:pPr>
            <w:r w:rsidRPr="00D650AA">
              <w:t>Below 18.5</w:t>
            </w:r>
          </w:p>
        </w:tc>
        <w:tc>
          <w:tcPr>
            <w:tcW w:w="5539" w:type="dxa"/>
          </w:tcPr>
          <w:p w14:paraId="1EDED2B3" w14:textId="77777777" w:rsidR="00DC2697" w:rsidRPr="00D650AA" w:rsidRDefault="00DC2697" w:rsidP="00DC2697">
            <w:pPr>
              <w:pStyle w:val="TableData"/>
            </w:pPr>
            <w:r w:rsidRPr="00D650AA">
              <w:t>Underweight</w:t>
            </w:r>
          </w:p>
        </w:tc>
      </w:tr>
      <w:tr w:rsidR="00DC2697" w:rsidRPr="00D650AA" w14:paraId="14D6231A" w14:textId="77777777" w:rsidTr="00C3728B">
        <w:trPr>
          <w:trHeight w:val="20"/>
        </w:trPr>
        <w:tc>
          <w:tcPr>
            <w:tcW w:w="5351" w:type="dxa"/>
          </w:tcPr>
          <w:p w14:paraId="4314AE42" w14:textId="77777777" w:rsidR="00DC2697" w:rsidRPr="00D650AA" w:rsidRDefault="00DC2697" w:rsidP="00DC2697">
            <w:pPr>
              <w:pStyle w:val="TableData"/>
            </w:pPr>
            <w:r w:rsidRPr="00D650AA">
              <w:t>18.5 – 24.9</w:t>
            </w:r>
          </w:p>
        </w:tc>
        <w:tc>
          <w:tcPr>
            <w:tcW w:w="5539" w:type="dxa"/>
          </w:tcPr>
          <w:p w14:paraId="0B6DF82A" w14:textId="77777777" w:rsidR="00DC2697" w:rsidRPr="00D650AA" w:rsidRDefault="00DC2697" w:rsidP="00DC2697">
            <w:pPr>
              <w:pStyle w:val="TableData"/>
            </w:pPr>
            <w:r w:rsidRPr="00D650AA">
              <w:t>Healthy Weight</w:t>
            </w:r>
          </w:p>
        </w:tc>
      </w:tr>
      <w:tr w:rsidR="00DC2697" w:rsidRPr="00D650AA" w14:paraId="2D423EE1" w14:textId="77777777" w:rsidTr="00C3728B">
        <w:trPr>
          <w:trHeight w:val="20"/>
        </w:trPr>
        <w:tc>
          <w:tcPr>
            <w:tcW w:w="5351" w:type="dxa"/>
          </w:tcPr>
          <w:p w14:paraId="760D46A1" w14:textId="77777777" w:rsidR="00DC2697" w:rsidRPr="00D650AA" w:rsidRDefault="00DC2697" w:rsidP="00DC2697">
            <w:pPr>
              <w:pStyle w:val="TableData"/>
            </w:pPr>
            <w:r w:rsidRPr="00D650AA">
              <w:t>25.0 – 29.9</w:t>
            </w:r>
          </w:p>
        </w:tc>
        <w:tc>
          <w:tcPr>
            <w:tcW w:w="5539" w:type="dxa"/>
          </w:tcPr>
          <w:p w14:paraId="765B7271" w14:textId="77777777" w:rsidR="00DC2697" w:rsidRPr="00D650AA" w:rsidRDefault="00DC2697" w:rsidP="00DC2697">
            <w:pPr>
              <w:pStyle w:val="TableData"/>
            </w:pPr>
            <w:r w:rsidRPr="00D650AA">
              <w:t>Overweight</w:t>
            </w:r>
          </w:p>
        </w:tc>
      </w:tr>
      <w:tr w:rsidR="00DC2697" w:rsidRPr="00D650AA" w14:paraId="101EE464" w14:textId="77777777" w:rsidTr="00C3728B">
        <w:trPr>
          <w:trHeight w:val="20"/>
        </w:trPr>
        <w:tc>
          <w:tcPr>
            <w:tcW w:w="5351" w:type="dxa"/>
          </w:tcPr>
          <w:p w14:paraId="617311E2" w14:textId="77777777" w:rsidR="00DC2697" w:rsidRPr="00D650AA" w:rsidRDefault="00DC2697" w:rsidP="00DC2697">
            <w:pPr>
              <w:pStyle w:val="TableData"/>
            </w:pPr>
            <w:r w:rsidRPr="00D650AA">
              <w:t>30.0 and Above</w:t>
            </w:r>
          </w:p>
        </w:tc>
        <w:tc>
          <w:tcPr>
            <w:tcW w:w="5539" w:type="dxa"/>
          </w:tcPr>
          <w:p w14:paraId="1681E445" w14:textId="77777777" w:rsidR="00DC2697" w:rsidRPr="00D650AA" w:rsidRDefault="00DC2697" w:rsidP="00DC2697">
            <w:pPr>
              <w:pStyle w:val="TableData"/>
            </w:pPr>
            <w:r w:rsidRPr="00D650AA">
              <w:t>Obese</w:t>
            </w:r>
          </w:p>
        </w:tc>
      </w:tr>
    </w:tbl>
    <w:p w14:paraId="10DA4309" w14:textId="309847A7" w:rsidR="00FF66BF" w:rsidRPr="00D650AA" w:rsidRDefault="00FF66BF" w:rsidP="00FF66BF">
      <w:pPr>
        <w:pStyle w:val="Heading2"/>
      </w:pPr>
      <w:r w:rsidRPr="00D650AA">
        <w:t>References</w:t>
      </w:r>
    </w:p>
    <w:p w14:paraId="2B83EEEC" w14:textId="1E862B76" w:rsidR="00DC2697" w:rsidRPr="00D650AA" w:rsidRDefault="00DC2697" w:rsidP="00C3728B">
      <w:pPr>
        <w:pStyle w:val="ReferenceOrdered"/>
      </w:pPr>
      <w:proofErr w:type="spellStart"/>
      <w:r w:rsidRPr="00D650AA">
        <w:t>Emflaza</w:t>
      </w:r>
      <w:proofErr w:type="spellEnd"/>
      <w:r w:rsidRPr="00D650AA">
        <w:t xml:space="preserve"> [package insert]. South Plainfield, NJ: PTC Therapeutics, Inc.; June 2021.</w:t>
      </w:r>
    </w:p>
    <w:p w14:paraId="7F71A0AF" w14:textId="1C3E186C" w:rsidR="00DC2697" w:rsidRPr="00D650AA" w:rsidRDefault="00DC2697" w:rsidP="00C3728B">
      <w:pPr>
        <w:pStyle w:val="ReferenceOrdered"/>
      </w:pPr>
      <w:r w:rsidRPr="00D650AA">
        <w:t xml:space="preserve">Bushby K, Finkel R, </w:t>
      </w:r>
      <w:proofErr w:type="spellStart"/>
      <w:r w:rsidRPr="00D650AA">
        <w:t>Birnkrant</w:t>
      </w:r>
      <w:proofErr w:type="spellEnd"/>
      <w:r w:rsidRPr="00D650AA">
        <w:t xml:space="preserve"> DJ, et al. Diagnosis and management of Duchenne muscular dystrophy, part 1: diagnosis and pharmacological and psychosocial management. Lancet Neurol. 2010;9:77-93.</w:t>
      </w:r>
    </w:p>
    <w:p w14:paraId="452E4851" w14:textId="25A508A1" w:rsidR="00DC2697" w:rsidRPr="00D650AA" w:rsidRDefault="00DC2697" w:rsidP="00C3728B">
      <w:pPr>
        <w:pStyle w:val="ReferenceOrdered"/>
      </w:pPr>
      <w:r w:rsidRPr="00D650AA">
        <w:t xml:space="preserve">Gloss D, Moxley RT, </w:t>
      </w:r>
      <w:proofErr w:type="spellStart"/>
      <w:r w:rsidRPr="00D650AA">
        <w:t>Ashwal</w:t>
      </w:r>
      <w:proofErr w:type="spellEnd"/>
      <w:r w:rsidRPr="00D650AA">
        <w:t xml:space="preserve"> S, </w:t>
      </w:r>
      <w:proofErr w:type="spellStart"/>
      <w:r w:rsidRPr="00D650AA">
        <w:t>Oskoui</w:t>
      </w:r>
      <w:proofErr w:type="spellEnd"/>
      <w:r w:rsidRPr="00D650AA">
        <w:t xml:space="preserve"> M. Practice guideline update summary: Corticosteroid treatment of Duchenne muscular dystrophy: Report of the Guideline Development Subcommittee of the American Academy of Neurology. Neurology. 2016;86(5):465-472.</w:t>
      </w:r>
    </w:p>
    <w:p w14:paraId="1B993740" w14:textId="07C880C6" w:rsidR="00DC2697" w:rsidRPr="00D650AA" w:rsidRDefault="00DC2697" w:rsidP="00C3728B">
      <w:pPr>
        <w:pStyle w:val="ReferenceOrdered"/>
      </w:pPr>
      <w:r w:rsidRPr="004872B8">
        <w:rPr>
          <w:lang w:val="da-DK"/>
        </w:rPr>
        <w:t xml:space="preserve">Griggs RC, Miller JP, Greenberg CR, et al. </w:t>
      </w:r>
      <w:r w:rsidRPr="00D650AA">
        <w:t>Efficacy and safety of deflazacort vs prednisone and placebo for Duchenne muscular dystrophy. Neurology. 2016;87(20):2123-2131.</w:t>
      </w:r>
    </w:p>
    <w:p w14:paraId="5FE95456" w14:textId="3200ED32" w:rsidR="00DC2697" w:rsidRPr="00D650AA" w:rsidRDefault="00DC2697" w:rsidP="00C3728B">
      <w:pPr>
        <w:pStyle w:val="ReferenceOrdered"/>
      </w:pPr>
      <w:r w:rsidRPr="00D650AA">
        <w:t>Centers for Disease Control and Prevention. Assessing Your Weight. https://www.cdc.gov/healthyweight/assessing/bmi/</w:t>
      </w:r>
      <w:r w:rsidR="00C3728B" w:rsidRPr="00D650AA">
        <w:t xml:space="preserve"> </w:t>
      </w:r>
      <w:r w:rsidRPr="00D650AA">
        <w:t>Accessed March 1, 2024.</w:t>
      </w:r>
    </w:p>
    <w:p w14:paraId="15554907" w14:textId="6B471534" w:rsidR="00DC2697" w:rsidRPr="00D650AA" w:rsidRDefault="00DC2697" w:rsidP="00C3728B">
      <w:pPr>
        <w:pStyle w:val="ReferenceOrdered"/>
      </w:pPr>
      <w:r w:rsidRPr="004872B8">
        <w:rPr>
          <w:lang w:val="da-DK"/>
        </w:rPr>
        <w:t xml:space="preserve">Birnkrant DJ, Bushby, K, Bann CM, et al. Diagnosis and management of Duchenne muscular dystrophy, part 1: diagnosis, and neuromuscular, rehabilitation, endocrine, and gastrointestinal and nutritional management. </w:t>
      </w:r>
      <w:r w:rsidRPr="00D650AA">
        <w:t>Lancet Neurol. 2018;17(3):251-267.</w:t>
      </w:r>
    </w:p>
    <w:p w14:paraId="2F837324" w14:textId="689852A8" w:rsidR="00DC2697" w:rsidRDefault="00DC2697" w:rsidP="00C3728B">
      <w:pPr>
        <w:pStyle w:val="ReferenceOrdered"/>
      </w:pPr>
      <w:r w:rsidRPr="00D650AA">
        <w:lastRenderedPageBreak/>
        <w:t xml:space="preserve">Deflazacort [package insert]. East Windsor, NJ: Aurobindo Pharma USA, Inc.; </w:t>
      </w:r>
      <w:r w:rsidR="00551D51">
        <w:t>June 2024</w:t>
      </w:r>
      <w:r w:rsidRPr="00D650AA">
        <w:t>.</w:t>
      </w:r>
    </w:p>
    <w:p w14:paraId="676818F2" w14:textId="2D4C909D" w:rsidR="00551D51" w:rsidRDefault="00551D51" w:rsidP="00C3728B">
      <w:pPr>
        <w:pStyle w:val="ReferenceOrdered"/>
      </w:pPr>
      <w:r w:rsidRPr="00551D51">
        <w:t>Deflazacort oral suspension [package insert]. Monmouth Junction, NJ: Tris Pharma, Inc.; April 2024.</w:t>
      </w:r>
    </w:p>
    <w:sectPr w:rsidR="00551D51" w:rsidSect="00170315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EE928" w14:textId="77777777" w:rsidR="003A2F5F" w:rsidRDefault="003A2F5F">
      <w:r>
        <w:separator/>
      </w:r>
    </w:p>
  </w:endnote>
  <w:endnote w:type="continuationSeparator" w:id="0">
    <w:p w14:paraId="2C360C65" w14:textId="77777777" w:rsidR="003A2F5F" w:rsidRDefault="003A2F5F">
      <w:r>
        <w:continuationSeparator/>
      </w:r>
    </w:p>
  </w:endnote>
  <w:endnote w:type="continuationNotice" w:id="1">
    <w:p w14:paraId="2ABA8534" w14:textId="77777777" w:rsidR="003A2F5F" w:rsidRDefault="003A2F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C2AE" w14:textId="46EA55B6" w:rsidR="00D650AA" w:rsidRPr="00EC47B6" w:rsidRDefault="00D650AA" w:rsidP="00D650AA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570C9" w:rsidRPr="00E570C9">
      <w:rPr>
        <w:rFonts w:cs="Arial"/>
        <w:noProof/>
        <w:sz w:val="16"/>
        <w:szCs w:val="16"/>
      </w:rPr>
      <w:t>deflazacort-Emflaza</w:t>
    </w:r>
    <w:r w:rsidR="00E570C9">
      <w:rPr>
        <w:rFonts w:cs="Arial"/>
        <w:noProof/>
        <w:snapToGrid w:val="0"/>
        <w:color w:val="000000"/>
        <w:sz w:val="16"/>
        <w:szCs w:val="16"/>
      </w:rPr>
      <w:t xml:space="preserve"> 1636-A SGM</w:t>
    </w:r>
    <w:r w:rsidR="00E570C9" w:rsidRPr="00E570C9">
      <w:rPr>
        <w:rFonts w:cs="Arial"/>
        <w:noProof/>
        <w:sz w:val="16"/>
        <w:szCs w:val="16"/>
      </w:rPr>
      <w:t xml:space="preserve"> P2024a</w:t>
    </w:r>
    <w:r w:rsidR="00E570C9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441266C0" w14:textId="42CA5463" w:rsidR="00D650AA" w:rsidRPr="00EC47B6" w:rsidRDefault="00D650AA" w:rsidP="00D650AA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48F56785" w14:textId="20A7A19D" w:rsidR="00D650AA" w:rsidRPr="00EB431C" w:rsidRDefault="00D650AA" w:rsidP="004872B8">
    <w:pPr>
      <w:autoSpaceDE w:val="0"/>
      <w:autoSpaceDN w:val="0"/>
      <w:adjustRightInd w:val="0"/>
      <w:jc w:val="center"/>
      <w:rPr>
        <w:sz w:val="16"/>
        <w:szCs w:val="16"/>
      </w:rPr>
    </w:pPr>
    <w:r w:rsidRPr="00EB431C">
      <w:rPr>
        <w:rFonts w:cs="Arial"/>
        <w:sz w:val="16"/>
        <w:szCs w:val="16"/>
      </w:rPr>
      <w:fldChar w:fldCharType="begin"/>
    </w:r>
    <w:r w:rsidRPr="00EB431C">
      <w:rPr>
        <w:rFonts w:cs="Arial"/>
        <w:sz w:val="16"/>
        <w:szCs w:val="16"/>
      </w:rPr>
      <w:instrText xml:space="preserve"> PAGE </w:instrText>
    </w:r>
    <w:r w:rsidRPr="00EB431C">
      <w:rPr>
        <w:rFonts w:cs="Arial"/>
        <w:sz w:val="16"/>
        <w:szCs w:val="16"/>
      </w:rPr>
      <w:fldChar w:fldCharType="separate"/>
    </w:r>
    <w:r w:rsidRPr="00EB431C">
      <w:rPr>
        <w:rFonts w:cs="Arial"/>
        <w:sz w:val="16"/>
        <w:szCs w:val="16"/>
      </w:rPr>
      <w:t>14</w:t>
    </w:r>
    <w:r w:rsidRPr="00EB431C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5826E" w14:textId="4BC27D1E" w:rsidR="00D650AA" w:rsidRPr="00EC47B6" w:rsidRDefault="00D650AA" w:rsidP="00D650AA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570C9" w:rsidRPr="00E570C9">
      <w:rPr>
        <w:rFonts w:cs="Arial"/>
        <w:noProof/>
        <w:sz w:val="16"/>
        <w:szCs w:val="16"/>
      </w:rPr>
      <w:t>deflazacort-Emflaza</w:t>
    </w:r>
    <w:r w:rsidR="00E570C9">
      <w:rPr>
        <w:rFonts w:cs="Arial"/>
        <w:noProof/>
        <w:snapToGrid w:val="0"/>
        <w:color w:val="000000"/>
        <w:sz w:val="16"/>
        <w:szCs w:val="16"/>
      </w:rPr>
      <w:t xml:space="preserve"> 1636-A SGM</w:t>
    </w:r>
    <w:r w:rsidR="00E570C9" w:rsidRPr="00E570C9">
      <w:rPr>
        <w:rFonts w:cs="Arial"/>
        <w:noProof/>
        <w:sz w:val="16"/>
        <w:szCs w:val="16"/>
      </w:rPr>
      <w:t xml:space="preserve"> P2024a</w:t>
    </w:r>
    <w:r w:rsidR="00E570C9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4019652B" w14:textId="39B25619" w:rsidR="00D650AA" w:rsidRPr="00EC47B6" w:rsidRDefault="00D650AA" w:rsidP="00D650AA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982720B" w14:textId="5CADA408" w:rsidR="00D650AA" w:rsidRPr="00EB431C" w:rsidRDefault="00D650AA" w:rsidP="004872B8">
    <w:pPr>
      <w:autoSpaceDE w:val="0"/>
      <w:autoSpaceDN w:val="0"/>
      <w:adjustRightInd w:val="0"/>
      <w:jc w:val="center"/>
      <w:rPr>
        <w:sz w:val="16"/>
        <w:szCs w:val="16"/>
      </w:rPr>
    </w:pPr>
    <w:r w:rsidRPr="00EB431C">
      <w:rPr>
        <w:rFonts w:cs="Arial"/>
        <w:sz w:val="16"/>
        <w:szCs w:val="16"/>
      </w:rPr>
      <w:fldChar w:fldCharType="begin"/>
    </w:r>
    <w:r w:rsidRPr="00EB431C">
      <w:rPr>
        <w:rFonts w:cs="Arial"/>
        <w:sz w:val="16"/>
        <w:szCs w:val="16"/>
      </w:rPr>
      <w:instrText xml:space="preserve"> PAGE </w:instrText>
    </w:r>
    <w:r w:rsidRPr="00EB431C">
      <w:rPr>
        <w:rFonts w:cs="Arial"/>
        <w:sz w:val="16"/>
        <w:szCs w:val="16"/>
      </w:rPr>
      <w:fldChar w:fldCharType="separate"/>
    </w:r>
    <w:r w:rsidRPr="00EB431C">
      <w:rPr>
        <w:rFonts w:cs="Arial"/>
        <w:sz w:val="16"/>
        <w:szCs w:val="16"/>
      </w:rPr>
      <w:t>14</w:t>
    </w:r>
    <w:r w:rsidRPr="00EB431C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D53AF" w14:textId="5233F68B" w:rsidR="00FF19C5" w:rsidRPr="00FF19C5" w:rsidRDefault="00FF19C5" w:rsidP="00FF1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30AD" w14:textId="77777777" w:rsidR="003A2F5F" w:rsidRDefault="003A2F5F">
      <w:r>
        <w:separator/>
      </w:r>
    </w:p>
  </w:footnote>
  <w:footnote w:type="continuationSeparator" w:id="0">
    <w:p w14:paraId="01ED9370" w14:textId="77777777" w:rsidR="003A2F5F" w:rsidRDefault="003A2F5F">
      <w:r>
        <w:continuationSeparator/>
      </w:r>
    </w:p>
  </w:footnote>
  <w:footnote w:type="continuationNotice" w:id="1">
    <w:p w14:paraId="69C804DF" w14:textId="77777777" w:rsidR="003A2F5F" w:rsidRDefault="003A2F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EF19A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EF19A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E0AF455" w:rsidR="00ED04EC" w:rsidRPr="00EF19A4" w:rsidRDefault="00FF19C5" w:rsidP="00ED04EC">
          <w:pPr>
            <w:pStyle w:val="Header"/>
            <w:rPr>
              <w:rFonts w:cs="Arial"/>
              <w:sz w:val="16"/>
              <w:szCs w:val="16"/>
            </w:rPr>
          </w:pPr>
          <w:r w:rsidRPr="00EF19A4">
            <w:rPr>
              <w:rFonts w:cs="Arial"/>
              <w:sz w:val="16"/>
              <w:szCs w:val="16"/>
            </w:rPr>
            <w:t>1636-A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12D12"/>
    <w:multiLevelType w:val="hybridMultilevel"/>
    <w:tmpl w:val="877AE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BE0B2C"/>
    <w:multiLevelType w:val="hybridMultilevel"/>
    <w:tmpl w:val="8B6AE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C85449"/>
    <w:multiLevelType w:val="hybridMultilevel"/>
    <w:tmpl w:val="85883C68"/>
    <w:lvl w:ilvl="0" w:tplc="13A05DC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4F6938"/>
    <w:multiLevelType w:val="hybridMultilevel"/>
    <w:tmpl w:val="C59EE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3C055B"/>
    <w:multiLevelType w:val="hybridMultilevel"/>
    <w:tmpl w:val="4B9A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7A5B2D"/>
    <w:multiLevelType w:val="hybridMultilevel"/>
    <w:tmpl w:val="98C08D04"/>
    <w:lvl w:ilvl="0" w:tplc="74A0840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F1FC1"/>
    <w:multiLevelType w:val="hybridMultilevel"/>
    <w:tmpl w:val="CBA8A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FB19F2"/>
    <w:multiLevelType w:val="hybridMultilevel"/>
    <w:tmpl w:val="E1DA27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952488"/>
    <w:multiLevelType w:val="hybridMultilevel"/>
    <w:tmpl w:val="634E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F346AC"/>
    <w:multiLevelType w:val="hybridMultilevel"/>
    <w:tmpl w:val="083E9E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C3BA3"/>
    <w:multiLevelType w:val="hybridMultilevel"/>
    <w:tmpl w:val="1AEC5A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9B2E1D"/>
    <w:multiLevelType w:val="hybridMultilevel"/>
    <w:tmpl w:val="A6AA5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C213E"/>
    <w:multiLevelType w:val="hybridMultilevel"/>
    <w:tmpl w:val="EA101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EB5064"/>
    <w:multiLevelType w:val="hybridMultilevel"/>
    <w:tmpl w:val="C6B47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70A7C"/>
    <w:multiLevelType w:val="hybridMultilevel"/>
    <w:tmpl w:val="EA0A03F0"/>
    <w:lvl w:ilvl="0" w:tplc="E42E555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A83D86"/>
    <w:multiLevelType w:val="hybridMultilevel"/>
    <w:tmpl w:val="DEB2E596"/>
    <w:lvl w:ilvl="0" w:tplc="A738883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E16217"/>
    <w:multiLevelType w:val="hybridMultilevel"/>
    <w:tmpl w:val="233E8A62"/>
    <w:lvl w:ilvl="0" w:tplc="55843EF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9D158A"/>
    <w:multiLevelType w:val="hybridMultilevel"/>
    <w:tmpl w:val="82DCC9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2F75FE"/>
    <w:multiLevelType w:val="hybridMultilevel"/>
    <w:tmpl w:val="E81888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8F7083"/>
    <w:multiLevelType w:val="hybridMultilevel"/>
    <w:tmpl w:val="8020B002"/>
    <w:lvl w:ilvl="0" w:tplc="0AA49F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4"/>
  </w:num>
  <w:num w:numId="2" w16cid:durableId="606935877">
    <w:abstractNumId w:val="37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1"/>
  </w:num>
  <w:num w:numId="16" w16cid:durableId="898320195">
    <w:abstractNumId w:val="22"/>
  </w:num>
  <w:num w:numId="17" w16cid:durableId="2128498676">
    <w:abstractNumId w:val="42"/>
  </w:num>
  <w:num w:numId="18" w16cid:durableId="299724409">
    <w:abstractNumId w:val="33"/>
  </w:num>
  <w:num w:numId="19" w16cid:durableId="214585573">
    <w:abstractNumId w:val="17"/>
  </w:num>
  <w:num w:numId="20" w16cid:durableId="1289816170">
    <w:abstractNumId w:val="18"/>
  </w:num>
  <w:num w:numId="21" w16cid:durableId="1066490929">
    <w:abstractNumId w:val="44"/>
  </w:num>
  <w:num w:numId="22" w16cid:durableId="1472481103">
    <w:abstractNumId w:val="35"/>
  </w:num>
  <w:num w:numId="23" w16cid:durableId="1997420403">
    <w:abstractNumId w:val="38"/>
  </w:num>
  <w:num w:numId="24" w16cid:durableId="33312838">
    <w:abstractNumId w:val="34"/>
  </w:num>
  <w:num w:numId="25" w16cid:durableId="507404939">
    <w:abstractNumId w:val="21"/>
  </w:num>
  <w:num w:numId="26" w16cid:durableId="1950313333">
    <w:abstractNumId w:val="28"/>
  </w:num>
  <w:num w:numId="27" w16cid:durableId="1866016584">
    <w:abstractNumId w:val="23"/>
  </w:num>
  <w:num w:numId="28" w16cid:durableId="1025978173">
    <w:abstractNumId w:val="10"/>
  </w:num>
  <w:num w:numId="29" w16cid:durableId="1397824084">
    <w:abstractNumId w:val="20"/>
  </w:num>
  <w:num w:numId="30" w16cid:durableId="1792816900">
    <w:abstractNumId w:val="32"/>
  </w:num>
  <w:num w:numId="31" w16cid:durableId="963197010">
    <w:abstractNumId w:val="40"/>
  </w:num>
  <w:num w:numId="32" w16cid:durableId="1974479137">
    <w:abstractNumId w:val="45"/>
  </w:num>
  <w:num w:numId="33" w16cid:durableId="1791630033">
    <w:abstractNumId w:val="13"/>
  </w:num>
  <w:num w:numId="34" w16cid:durableId="2054041486">
    <w:abstractNumId w:val="19"/>
  </w:num>
  <w:num w:numId="35" w16cid:durableId="2037730570">
    <w:abstractNumId w:val="27"/>
  </w:num>
  <w:num w:numId="36" w16cid:durableId="709106613">
    <w:abstractNumId w:val="41"/>
  </w:num>
  <w:num w:numId="37" w16cid:durableId="459611232">
    <w:abstractNumId w:val="30"/>
  </w:num>
  <w:num w:numId="38" w16cid:durableId="1586986789">
    <w:abstractNumId w:val="39"/>
  </w:num>
  <w:num w:numId="39" w16cid:durableId="451293654">
    <w:abstractNumId w:val="16"/>
  </w:num>
  <w:num w:numId="40" w16cid:durableId="1235697908">
    <w:abstractNumId w:val="46"/>
  </w:num>
  <w:num w:numId="41" w16cid:durableId="1598948266">
    <w:abstractNumId w:val="24"/>
  </w:num>
  <w:num w:numId="42" w16cid:durableId="558635120">
    <w:abstractNumId w:val="26"/>
  </w:num>
  <w:num w:numId="43" w16cid:durableId="174655733">
    <w:abstractNumId w:val="43"/>
  </w:num>
  <w:num w:numId="44" w16cid:durableId="465584651">
    <w:abstractNumId w:val="25"/>
  </w:num>
  <w:num w:numId="45" w16cid:durableId="1794708403">
    <w:abstractNumId w:val="36"/>
  </w:num>
  <w:num w:numId="46" w16cid:durableId="1537035956">
    <w:abstractNumId w:val="12"/>
  </w:num>
  <w:num w:numId="47" w16cid:durableId="1128158256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6E77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15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D7C29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7EB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0912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03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287D"/>
    <w:rsid w:val="003A2F5F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5F27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6B29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B8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575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AD2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1D51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2C2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7F5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18F5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6B6F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5DF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24AA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6F29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69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0A7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28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56E43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89C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0AA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697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0C9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A48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31C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9A4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A95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1F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19C5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qFormat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279EED-AAE9-431A-852B-048424654941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deflazacort-Emflaza 1636-A SGM 2024</vt:lpstr>
    </vt:vector>
  </TitlesOfParts>
  <Company>PCS Health Systems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deflazacort-Emflaza 1636-A SGM 2024</dc:title>
  <dc:subject/>
  <dc:creator>CVS Caremark</dc:creator>
  <cp:keywords/>
  <cp:lastModifiedBy>Mildzikhova, Aida O</cp:lastModifiedBy>
  <cp:revision>3</cp:revision>
  <cp:lastPrinted>2024-04-22T13:46:00Z</cp:lastPrinted>
  <dcterms:created xsi:type="dcterms:W3CDTF">2024-12-23T18:54:00Z</dcterms:created>
  <dcterms:modified xsi:type="dcterms:W3CDTF">2024-12-23T18:55:00Z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1271900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